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jc w:val="center"/>
        <w:rPr>
          <w:rFonts w:hint="eastAsia" w:ascii="宋体" w:hAnsi="宋体" w:eastAsia="宋体" w:cs="宋体"/>
          <w:color w:val="000000" w:themeColor="text1"/>
          <w:sz w:val="44"/>
          <w:szCs w:val="44"/>
          <w:highlight w:val="none"/>
          <w14:textFill>
            <w14:solidFill>
              <w14:schemeClr w14:val="tx1"/>
            </w14:solidFill>
          </w14:textFill>
        </w:rPr>
      </w:pPr>
      <w:r>
        <w:rPr>
          <w:rFonts w:hint="eastAsia" w:ascii="宋体" w:hAnsi="宋体" w:eastAsia="宋体" w:cs="宋体"/>
          <w:b/>
          <w:color w:val="000000" w:themeColor="text1"/>
          <w:sz w:val="44"/>
          <w:szCs w:val="44"/>
          <w:highlight w:val="none"/>
          <w14:textFill>
            <w14:solidFill>
              <w14:schemeClr w14:val="tx1"/>
            </w14:solidFill>
          </w14:textFill>
        </w:rPr>
        <w:t>非公开招标方式采购公示表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keepNext w:val="0"/>
              <w:keepLines w:val="0"/>
              <w:pageBreakBefore w:val="0"/>
              <w:widowControl w:val="0"/>
              <w:kinsoku/>
              <w:overflowPunct/>
              <w:topLinePunct w:val="0"/>
              <w:autoSpaceDE/>
              <w:autoSpaceDN/>
              <w:bidi w:val="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依照《深圳经济特区政府采购条例》第二十、二十一条规定，深圳市规划和自然资源局</w:t>
            </w:r>
            <w:r>
              <w:rPr>
                <w:rFonts w:hint="eastAsia" w:ascii="宋体" w:hAnsi="宋体" w:eastAsia="宋体" w:cs="宋体"/>
                <w:color w:val="000000" w:themeColor="text1"/>
                <w:sz w:val="20"/>
                <w:szCs w:val="20"/>
                <w:highlight w:val="none"/>
                <w:lang w:val="en-US" w:eastAsia="zh-CN"/>
                <w14:textFill>
                  <w14:solidFill>
                    <w14:schemeClr w14:val="tx1"/>
                  </w14:solidFill>
                </w14:textFill>
              </w:rPr>
              <w:t>/深圳市海洋发展局</w:t>
            </w:r>
            <w:r>
              <w:rPr>
                <w:rFonts w:hint="eastAsia" w:ascii="宋体" w:hAnsi="宋体" w:eastAsia="宋体" w:cs="宋体"/>
                <w:color w:val="000000" w:themeColor="text1"/>
                <w:sz w:val="20"/>
                <w:szCs w:val="20"/>
                <w:highlight w:val="none"/>
                <w14:textFill>
                  <w14:solidFill>
                    <w14:schemeClr w14:val="tx1"/>
                  </w14:solidFill>
                </w14:textFill>
              </w:rPr>
              <w:t>就《深圳市2025年度农转用方案批后、撤回以及已批未备案清查方案符合性评估》项目采用单一来源方式采购，现将有关情况向潜在政府采购供应商征求意见</w:t>
            </w:r>
            <w:r>
              <w:rPr>
                <w:rFonts w:hint="eastAsia" w:ascii="宋体" w:hAnsi="宋体" w:eastAsia="宋体" w:cs="宋体"/>
                <w:color w:val="000000" w:themeColor="text1"/>
                <w:sz w:val="20"/>
                <w:szCs w:val="20"/>
                <w:highlight w:val="none"/>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keepNext w:val="0"/>
              <w:keepLines w:val="0"/>
              <w:pageBreakBefore w:val="0"/>
              <w:widowControl w:val="0"/>
              <w:kinsoku/>
              <w:overflowPunct/>
              <w:topLinePunct w:val="0"/>
              <w:autoSpaceDE/>
              <w:autoSpaceDN/>
              <w:bidi w:val="0"/>
              <w:spacing w:line="440" w:lineRule="exact"/>
              <w:rPr>
                <w:rFonts w:hint="eastAsia" w:ascii="宋体" w:hAnsi="宋体" w:eastAsia="宋体" w:cs="宋体"/>
                <w:bCs/>
                <w:color w:val="000000" w:themeColor="text1"/>
                <w:sz w:val="20"/>
                <w:szCs w:val="20"/>
                <w:highlight w:val="none"/>
                <w14:textFill>
                  <w14:solidFill>
                    <w14:schemeClr w14:val="tx1"/>
                  </w14:solidFill>
                </w14:textFill>
              </w:rPr>
            </w:pPr>
            <w:r>
              <w:rPr>
                <w:rFonts w:hint="eastAsia" w:ascii="宋体" w:hAnsi="宋体" w:eastAsia="宋体" w:cs="宋体"/>
                <w:bCs/>
                <w:color w:val="000000" w:themeColor="text1"/>
                <w:sz w:val="20"/>
                <w:szCs w:val="20"/>
                <w:highlight w:val="none"/>
                <w14:textFill>
                  <w14:solidFill>
                    <w14:schemeClr w14:val="tx1"/>
                  </w14:solidFill>
                </w14:textFill>
              </w:rPr>
              <w:t>采购项目名称：</w:t>
            </w:r>
            <w:r>
              <w:rPr>
                <w:rFonts w:hint="eastAsia" w:ascii="宋体" w:hAnsi="宋体" w:eastAsia="宋体" w:cs="宋体"/>
                <w:color w:val="000000" w:themeColor="text1"/>
                <w:sz w:val="20"/>
                <w:szCs w:val="20"/>
                <w:highlight w:val="none"/>
                <w14:textFill>
                  <w14:solidFill>
                    <w14:schemeClr w14:val="tx1"/>
                  </w14:solidFill>
                </w14:textFill>
              </w:rPr>
              <w:t>深圳市2025年度农转用方案批后、撤回以及已批未备案清查方案符合性评估</w:t>
            </w:r>
            <w:r>
              <w:rPr>
                <w:rFonts w:hint="eastAsia" w:ascii="宋体" w:hAnsi="宋体" w:eastAsia="宋体" w:cs="宋体"/>
                <w:bCs/>
                <w:color w:val="000000" w:themeColor="text1"/>
                <w:sz w:val="20"/>
                <w:szCs w:val="20"/>
                <w:highlight w:val="none"/>
                <w14:textFill>
                  <w14:solidFill>
                    <w14:schemeClr w14:val="tx1"/>
                  </w14:solidFill>
                </w14:textFill>
              </w:rPr>
              <w:t xml:space="preserve"> </w:t>
            </w:r>
          </w:p>
          <w:p>
            <w:pPr>
              <w:keepNext w:val="0"/>
              <w:keepLines w:val="0"/>
              <w:pageBreakBefore w:val="0"/>
              <w:widowControl w:val="0"/>
              <w:kinsoku/>
              <w:overflowPunct/>
              <w:topLinePunct w:val="0"/>
              <w:autoSpaceDE/>
              <w:autoSpaceDN/>
              <w:bidi w:val="0"/>
              <w:spacing w:line="440" w:lineRule="exact"/>
              <w:rPr>
                <w:rFonts w:hint="default" w:ascii="宋体" w:hAnsi="宋体" w:eastAsia="宋体" w:cs="宋体"/>
                <w:bCs/>
                <w:color w:val="000000" w:themeColor="text1"/>
                <w:sz w:val="20"/>
                <w:szCs w:val="20"/>
                <w:highlight w:val="none"/>
                <w:lang w:val="en-US" w:eastAsia="zh-CN"/>
                <w14:textFill>
                  <w14:solidFill>
                    <w14:schemeClr w14:val="tx1"/>
                  </w14:solidFill>
                </w14:textFill>
              </w:rPr>
            </w:pPr>
            <w:r>
              <w:rPr>
                <w:rFonts w:hint="eastAsia" w:ascii="宋体" w:hAnsi="宋体" w:eastAsia="宋体" w:cs="宋体"/>
                <w:bCs/>
                <w:color w:val="000000" w:themeColor="text1"/>
                <w:sz w:val="20"/>
                <w:szCs w:val="20"/>
                <w:highlight w:val="none"/>
                <w14:textFill>
                  <w14:solidFill>
                    <w14:schemeClr w14:val="tx1"/>
                  </w14:solidFill>
                </w14:textFill>
              </w:rPr>
              <w:t>项目预算金额：</w:t>
            </w:r>
            <w:r>
              <w:rPr>
                <w:rFonts w:hint="eastAsia" w:ascii="宋体" w:hAnsi="宋体" w:eastAsia="宋体" w:cs="宋体"/>
                <w:bCs/>
                <w:color w:val="000000" w:themeColor="text1"/>
                <w:sz w:val="20"/>
                <w:szCs w:val="20"/>
                <w:highlight w:val="none"/>
                <w:lang w:val="en-US" w:eastAsia="zh-CN"/>
                <w14:textFill>
                  <w14:solidFill>
                    <w14:schemeClr w14:val="tx1"/>
                  </w14:solidFill>
                </w14:textFill>
              </w:rPr>
              <w:t>52.5万元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keepNext w:val="0"/>
              <w:keepLines w:val="0"/>
              <w:pageBreakBefore w:val="0"/>
              <w:widowControl w:val="0"/>
              <w:kinsoku/>
              <w:overflowPunct/>
              <w:topLinePunct w:val="0"/>
              <w:autoSpaceDE/>
              <w:autoSpaceDN/>
              <w:bidi w:val="0"/>
              <w:spacing w:line="440" w:lineRule="exact"/>
              <w:rPr>
                <w:rFonts w:hint="eastAsia"/>
                <w:highlight w:val="none"/>
              </w:rPr>
            </w:pPr>
            <w:r>
              <w:rPr>
                <w:rFonts w:hint="eastAsia"/>
                <w:highlight w:val="none"/>
              </w:rPr>
              <w:t>采购项目描述：</w:t>
            </w:r>
          </w:p>
          <w:p>
            <w:pPr>
              <w:keepNext w:val="0"/>
              <w:keepLines w:val="0"/>
              <w:pageBreakBefore w:val="0"/>
              <w:widowControl w:val="0"/>
              <w:kinsoku/>
              <w:overflowPunct/>
              <w:topLinePunct w:val="0"/>
              <w:autoSpaceDE/>
              <w:autoSpaceDN/>
              <w:bidi w:val="0"/>
              <w:spacing w:before="62" w:beforeLines="20" w:line="440" w:lineRule="exact"/>
              <w:ind w:firstLine="402" w:firstLineChars="200"/>
              <w:rPr>
                <w:rFonts w:hint="eastAsia" w:ascii="宋体" w:hAnsi="宋体" w:eastAsia="宋体" w:cs="宋体"/>
                <w:b/>
                <w:bCs/>
                <w:sz w:val="20"/>
                <w:szCs w:val="20"/>
                <w:highlight w:val="none"/>
              </w:rPr>
            </w:pPr>
            <w:r>
              <w:rPr>
                <w:rFonts w:hint="eastAsia" w:ascii="宋体" w:hAnsi="宋体" w:eastAsia="宋体" w:cs="宋体"/>
                <w:b/>
                <w:bCs/>
                <w:sz w:val="20"/>
                <w:szCs w:val="20"/>
                <w:highlight w:val="none"/>
                <w:lang w:val="en-US" w:eastAsia="zh-CN"/>
              </w:rPr>
              <w:t>一、</w:t>
            </w:r>
            <w:r>
              <w:rPr>
                <w:rFonts w:hint="eastAsia" w:ascii="宋体" w:hAnsi="宋体" w:eastAsia="宋体" w:cs="宋体"/>
                <w:b/>
                <w:bCs/>
                <w:sz w:val="20"/>
                <w:szCs w:val="20"/>
                <w:highlight w:val="none"/>
              </w:rPr>
              <w:t>工作内容</w:t>
            </w:r>
          </w:p>
          <w:p>
            <w:pPr>
              <w:widowControl/>
              <w:spacing w:line="240" w:lineRule="auto"/>
              <w:ind w:firstLine="400" w:firstLineChars="200"/>
              <w:jc w:val="left"/>
              <w:outlineLvl w:val="9"/>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为加强用地审批监督</w:t>
            </w:r>
            <w:r>
              <w:rPr>
                <w:rFonts w:hint="default" w:ascii="宋体" w:hAnsi="宋体" w:eastAsia="宋体" w:cs="宋体"/>
                <w:sz w:val="20"/>
                <w:szCs w:val="20"/>
                <w:highlight w:val="none"/>
                <w:lang w:val="en-US" w:eastAsia="zh-CN"/>
              </w:rPr>
              <w:t>管理力度，进一步规范各地建设用地审批行为，</w:t>
            </w:r>
            <w:r>
              <w:rPr>
                <w:rFonts w:hint="eastAsia" w:ascii="宋体" w:hAnsi="宋体" w:eastAsia="宋体" w:cs="宋体"/>
                <w:sz w:val="20"/>
                <w:szCs w:val="20"/>
                <w:highlight w:val="none"/>
                <w:lang w:val="en-US" w:eastAsia="zh-CN"/>
              </w:rPr>
              <w:t>广东</w:t>
            </w:r>
            <w:r>
              <w:rPr>
                <w:rFonts w:hint="default" w:ascii="宋体" w:hAnsi="宋体" w:eastAsia="宋体" w:cs="宋体"/>
                <w:sz w:val="20"/>
                <w:szCs w:val="20"/>
                <w:highlight w:val="none"/>
                <w:lang w:val="en-US" w:eastAsia="zh-CN"/>
              </w:rPr>
              <w:t>省自然资源厅</w:t>
            </w:r>
            <w:r>
              <w:rPr>
                <w:rFonts w:hint="eastAsia" w:ascii="宋体" w:hAnsi="宋体" w:eastAsia="宋体" w:cs="宋体"/>
                <w:sz w:val="20"/>
                <w:szCs w:val="20"/>
                <w:highlight w:val="none"/>
                <w:lang w:val="en-US" w:eastAsia="zh-CN"/>
              </w:rPr>
              <w:t>每年</w:t>
            </w:r>
            <w:r>
              <w:rPr>
                <w:rFonts w:hint="default" w:ascii="宋体" w:hAnsi="宋体" w:eastAsia="宋体" w:cs="宋体"/>
                <w:sz w:val="20"/>
                <w:szCs w:val="20"/>
                <w:highlight w:val="none"/>
                <w:lang w:val="en-US" w:eastAsia="zh-CN"/>
              </w:rPr>
              <w:t>组织了</w:t>
            </w:r>
            <w:r>
              <w:rPr>
                <w:rFonts w:hint="eastAsia" w:ascii="宋体" w:hAnsi="宋体" w:eastAsia="宋体" w:cs="宋体"/>
                <w:sz w:val="20"/>
                <w:szCs w:val="20"/>
                <w:highlight w:val="none"/>
                <w:lang w:val="en-US" w:eastAsia="zh-CN"/>
              </w:rPr>
              <w:t>用地审批“</w:t>
            </w:r>
            <w:r>
              <w:rPr>
                <w:rFonts w:hint="default" w:ascii="宋体" w:hAnsi="宋体" w:eastAsia="宋体" w:cs="宋体"/>
                <w:sz w:val="20"/>
                <w:szCs w:val="20"/>
                <w:highlight w:val="none"/>
                <w:lang w:val="en-US" w:eastAsia="zh-CN"/>
              </w:rPr>
              <w:t>双随机、一公开</w:t>
            </w:r>
            <w:r>
              <w:rPr>
                <w:rFonts w:hint="eastAsia" w:ascii="宋体" w:hAnsi="宋体" w:eastAsia="宋体" w:cs="宋体"/>
                <w:sz w:val="20"/>
                <w:szCs w:val="20"/>
                <w:highlight w:val="none"/>
                <w:lang w:val="en-US" w:eastAsia="zh-CN"/>
              </w:rPr>
              <w:t>”</w:t>
            </w:r>
            <w:r>
              <w:rPr>
                <w:rFonts w:hint="default" w:ascii="宋体" w:hAnsi="宋体" w:eastAsia="宋体" w:cs="宋体"/>
                <w:sz w:val="20"/>
                <w:szCs w:val="20"/>
                <w:highlight w:val="none"/>
                <w:lang w:val="en-US" w:eastAsia="zh-CN"/>
              </w:rPr>
              <w:t>检查工作</w:t>
            </w:r>
            <w:r>
              <w:rPr>
                <w:rFonts w:hint="eastAsia" w:ascii="宋体" w:hAnsi="宋体" w:eastAsia="宋体" w:cs="宋体"/>
                <w:sz w:val="20"/>
                <w:szCs w:val="20"/>
                <w:highlight w:val="none"/>
                <w:lang w:val="en-US" w:eastAsia="zh-CN"/>
              </w:rPr>
              <w:t>，</w:t>
            </w:r>
            <w:r>
              <w:rPr>
                <w:rFonts w:hint="default" w:ascii="宋体" w:hAnsi="宋体" w:eastAsia="宋体" w:cs="宋体"/>
                <w:sz w:val="20"/>
                <w:szCs w:val="20"/>
                <w:highlight w:val="none"/>
              </w:rPr>
              <w:t>对各市</w:t>
            </w:r>
            <w:r>
              <w:rPr>
                <w:rFonts w:hint="default" w:ascii="宋体" w:hAnsi="宋体" w:eastAsia="宋体" w:cs="宋体"/>
                <w:sz w:val="20"/>
                <w:szCs w:val="20"/>
                <w:highlight w:val="none"/>
                <w:lang w:val="en-US" w:eastAsia="zh-CN"/>
              </w:rPr>
              <w:t>上</w:t>
            </w:r>
            <w:r>
              <w:rPr>
                <w:rFonts w:hint="default" w:ascii="宋体" w:hAnsi="宋体" w:eastAsia="宋体" w:cs="宋体"/>
                <w:sz w:val="20"/>
                <w:szCs w:val="20"/>
                <w:highlight w:val="none"/>
              </w:rPr>
              <w:t>年度省政府委托各地级以上市政府批准的用地审批</w:t>
            </w:r>
            <w:r>
              <w:rPr>
                <w:rFonts w:hint="default" w:ascii="宋体" w:hAnsi="宋体" w:eastAsia="宋体" w:cs="宋体"/>
                <w:sz w:val="20"/>
                <w:szCs w:val="20"/>
                <w:highlight w:val="none"/>
                <w:lang w:eastAsia="zh-CN"/>
              </w:rPr>
              <w:t>、</w:t>
            </w:r>
            <w:r>
              <w:rPr>
                <w:rFonts w:hint="default" w:ascii="宋体" w:hAnsi="宋体" w:eastAsia="宋体" w:cs="宋体"/>
                <w:sz w:val="20"/>
                <w:szCs w:val="20"/>
                <w:highlight w:val="none"/>
              </w:rPr>
              <w:t>各地级以上市政府依法批准的农转用审批</w:t>
            </w:r>
            <w:r>
              <w:rPr>
                <w:rFonts w:hint="default" w:ascii="宋体" w:hAnsi="宋体" w:eastAsia="宋体" w:cs="宋体"/>
                <w:sz w:val="20"/>
                <w:szCs w:val="20"/>
                <w:highlight w:val="none"/>
                <w:lang w:eastAsia="zh-CN"/>
              </w:rPr>
              <w:t>、</w:t>
            </w:r>
            <w:r>
              <w:rPr>
                <w:rFonts w:hint="default" w:ascii="宋体" w:hAnsi="宋体" w:eastAsia="宋体" w:cs="宋体"/>
                <w:sz w:val="20"/>
                <w:szCs w:val="20"/>
                <w:highlight w:val="none"/>
              </w:rPr>
              <w:t>省政府委托各地级以上市人民政府批准土地征收成片开发方案审批</w:t>
            </w:r>
            <w:r>
              <w:rPr>
                <w:rFonts w:hint="default" w:ascii="宋体" w:hAnsi="宋体" w:eastAsia="宋体" w:cs="宋体"/>
                <w:sz w:val="20"/>
                <w:szCs w:val="20"/>
                <w:highlight w:val="none"/>
                <w:lang w:val="en-US" w:eastAsia="zh-CN"/>
              </w:rPr>
              <w:t>等</w:t>
            </w:r>
            <w:r>
              <w:rPr>
                <w:rFonts w:hint="default" w:ascii="宋体" w:hAnsi="宋体" w:eastAsia="宋体" w:cs="宋体"/>
                <w:sz w:val="20"/>
                <w:szCs w:val="20"/>
                <w:highlight w:val="none"/>
              </w:rPr>
              <w:t>事项</w:t>
            </w:r>
            <w:r>
              <w:rPr>
                <w:rFonts w:hint="default" w:ascii="宋体" w:hAnsi="宋体" w:eastAsia="宋体" w:cs="宋体"/>
                <w:sz w:val="20"/>
                <w:szCs w:val="20"/>
                <w:highlight w:val="none"/>
                <w:lang w:val="en-US" w:eastAsia="zh-CN"/>
              </w:rPr>
              <w:t>进行检查</w:t>
            </w:r>
            <w:r>
              <w:rPr>
                <w:rFonts w:hint="eastAsia" w:ascii="宋体" w:hAnsi="宋体" w:eastAsia="宋体" w:cs="宋体"/>
                <w:sz w:val="20"/>
                <w:szCs w:val="20"/>
                <w:highlight w:val="none"/>
                <w:lang w:val="en-US" w:eastAsia="zh-CN"/>
              </w:rPr>
              <w:t>。</w:t>
            </w:r>
          </w:p>
          <w:p>
            <w:pPr>
              <w:widowControl/>
              <w:spacing w:line="240" w:lineRule="auto"/>
              <w:ind w:firstLine="400" w:firstLineChars="200"/>
              <w:jc w:val="left"/>
              <w:outlineLvl w:val="9"/>
              <w:rPr>
                <w:rFonts w:hint="eastAsia" w:ascii="宋体" w:hAnsi="宋体" w:eastAsia="宋体" w:cs="宋体"/>
                <w:sz w:val="20"/>
                <w:szCs w:val="20"/>
                <w:highlight w:val="none"/>
                <w:lang w:eastAsia="zh-CN"/>
              </w:rPr>
            </w:pPr>
            <w:r>
              <w:rPr>
                <w:rFonts w:hint="default" w:ascii="宋体" w:hAnsi="宋体" w:eastAsia="宋体" w:cs="宋体"/>
                <w:sz w:val="20"/>
                <w:szCs w:val="20"/>
                <w:highlight w:val="none"/>
                <w:lang w:val="en-US" w:eastAsia="zh-CN"/>
              </w:rPr>
              <w:t>根据《广东省自然资源厅</w:t>
            </w:r>
            <w:r>
              <w:rPr>
                <w:rFonts w:hint="default" w:ascii="宋体" w:hAnsi="宋体" w:eastAsia="宋体" w:cs="宋体"/>
                <w:sz w:val="20"/>
                <w:szCs w:val="20"/>
                <w:highlight w:val="none"/>
              </w:rPr>
              <w:t>关于做好用地批准文件失效和撤回有关工作的通知》（粤自然资管制〔2022〕2256号）</w:t>
            </w:r>
            <w:r>
              <w:rPr>
                <w:rFonts w:hint="eastAsia" w:ascii="宋体" w:hAnsi="宋体" w:eastAsia="宋体" w:cs="宋体"/>
                <w:sz w:val="20"/>
                <w:szCs w:val="20"/>
                <w:highlight w:val="none"/>
                <w:lang w:val="en-US" w:eastAsia="zh-CN"/>
              </w:rPr>
              <w:t>等文件要求</w:t>
            </w:r>
            <w:r>
              <w:rPr>
                <w:rFonts w:hint="default" w:ascii="宋体" w:hAnsi="宋体" w:eastAsia="宋体" w:cs="宋体"/>
                <w:sz w:val="20"/>
                <w:szCs w:val="20"/>
                <w:highlight w:val="none"/>
                <w:lang w:eastAsia="zh-CN"/>
              </w:rPr>
              <w:t>，</w:t>
            </w:r>
            <w:r>
              <w:rPr>
                <w:rFonts w:hint="eastAsia" w:ascii="宋体" w:hAnsi="宋体" w:eastAsia="宋体" w:cs="宋体"/>
                <w:sz w:val="20"/>
                <w:szCs w:val="20"/>
                <w:highlight w:val="none"/>
              </w:rPr>
              <w:t>非国务院批准的批文撤销或调整的，按批而未供土地处置量统计</w:t>
            </w:r>
            <w:r>
              <w:rPr>
                <w:rFonts w:hint="default" w:ascii="宋体" w:hAnsi="宋体" w:eastAsia="宋体" w:cs="宋体"/>
                <w:sz w:val="20"/>
                <w:szCs w:val="20"/>
                <w:highlight w:val="none"/>
                <w:lang w:eastAsia="zh-CN"/>
              </w:rPr>
              <w:t>。</w:t>
            </w:r>
            <w:r>
              <w:rPr>
                <w:rFonts w:hint="eastAsia" w:ascii="宋体" w:hAnsi="宋体" w:eastAsia="宋体" w:cs="宋体"/>
                <w:sz w:val="20"/>
                <w:szCs w:val="20"/>
                <w:highlight w:val="none"/>
              </w:rPr>
              <w:t>原批准机关同意撤回或地级以上市人民政府认定失效的用地批准文件，经省厅审核通过或经省政府同意</w:t>
            </w:r>
            <w:r>
              <w:rPr>
                <w:rFonts w:hint="eastAsia" w:ascii="宋体" w:hAnsi="宋体" w:eastAsia="宋体" w:cs="宋体"/>
                <w:sz w:val="20"/>
                <w:szCs w:val="20"/>
                <w:highlight w:val="none"/>
                <w:lang w:val="en-US" w:eastAsia="zh-CN"/>
              </w:rPr>
              <w:t>并</w:t>
            </w:r>
            <w:r>
              <w:rPr>
                <w:rFonts w:hint="eastAsia" w:ascii="宋体" w:hAnsi="宋体" w:eastAsia="宋体" w:cs="宋体"/>
                <w:sz w:val="20"/>
                <w:szCs w:val="20"/>
                <w:highlight w:val="none"/>
              </w:rPr>
              <w:t>报自然资源部备案后，可腾退计划指标、耕地指标、林地指标、新增建设用地土地有偿使用费</w:t>
            </w:r>
            <w:r>
              <w:rPr>
                <w:rFonts w:hint="eastAsia" w:ascii="宋体" w:hAnsi="宋体" w:eastAsia="宋体" w:cs="宋体"/>
                <w:sz w:val="20"/>
                <w:szCs w:val="20"/>
                <w:highlight w:val="none"/>
                <w:lang w:val="en-US" w:eastAsia="zh-CN"/>
              </w:rPr>
              <w:t>等</w:t>
            </w:r>
            <w:r>
              <w:rPr>
                <w:rFonts w:hint="eastAsia" w:ascii="宋体" w:hAnsi="宋体" w:eastAsia="宋体" w:cs="宋体"/>
                <w:sz w:val="20"/>
                <w:szCs w:val="20"/>
                <w:highlight w:val="none"/>
                <w:lang w:eastAsia="zh-CN"/>
              </w:rPr>
              <w:t>。</w:t>
            </w:r>
          </w:p>
          <w:p>
            <w:pPr>
              <w:widowControl/>
              <w:spacing w:line="240" w:lineRule="auto"/>
              <w:ind w:firstLine="400" w:firstLineChars="200"/>
              <w:jc w:val="left"/>
              <w:outlineLvl w:val="9"/>
              <w:rPr>
                <w:rFonts w:hint="eastAsia" w:ascii="宋体" w:hAnsi="宋体" w:eastAsia="宋体" w:cs="宋体"/>
                <w:sz w:val="20"/>
                <w:szCs w:val="20"/>
                <w:highlight w:val="none"/>
              </w:rPr>
            </w:pPr>
            <w:r>
              <w:rPr>
                <w:rFonts w:hint="eastAsia" w:ascii="宋体" w:hAnsi="宋体" w:eastAsia="宋体" w:cs="宋体"/>
                <w:sz w:val="20"/>
                <w:szCs w:val="20"/>
                <w:highlight w:val="none"/>
              </w:rPr>
              <w:t>为切实规范我省已批建设用地备案工作，《广东省自然资源厅关于规范建设用地备案工作的通知》（粤自然资管制〔2022〕18号）</w:t>
            </w:r>
            <w:r>
              <w:rPr>
                <w:rFonts w:hint="eastAsia" w:ascii="宋体" w:hAnsi="宋体" w:eastAsia="宋体" w:cs="宋体"/>
                <w:sz w:val="20"/>
                <w:szCs w:val="20"/>
                <w:highlight w:val="none"/>
                <w:lang w:val="en-US" w:eastAsia="zh-CN"/>
              </w:rPr>
              <w:t>要求</w:t>
            </w:r>
            <w:r>
              <w:rPr>
                <w:rFonts w:hint="eastAsia" w:ascii="宋体" w:hAnsi="宋体" w:eastAsia="宋体" w:cs="宋体"/>
                <w:sz w:val="20"/>
                <w:szCs w:val="20"/>
                <w:highlight w:val="none"/>
              </w:rPr>
              <w:t>各市、县人民政府依法或授权委托批准的建设用地，须在用地批准后</w:t>
            </w:r>
            <w:r>
              <w:rPr>
                <w:rFonts w:hint="eastAsia" w:ascii="宋体" w:hAnsi="宋体" w:eastAsia="宋体" w:cs="宋体"/>
                <w:sz w:val="20"/>
                <w:szCs w:val="20"/>
                <w:highlight w:val="none"/>
                <w:lang w:val="en-US" w:eastAsia="zh-CN"/>
              </w:rPr>
              <w:t>完成相关</w:t>
            </w:r>
            <w:r>
              <w:rPr>
                <w:rFonts w:hint="eastAsia" w:ascii="宋体" w:hAnsi="宋体" w:eastAsia="宋体" w:cs="宋体"/>
                <w:sz w:val="20"/>
                <w:szCs w:val="20"/>
                <w:highlight w:val="none"/>
              </w:rPr>
              <w:t>备案</w:t>
            </w:r>
            <w:r>
              <w:rPr>
                <w:rFonts w:hint="eastAsia" w:ascii="宋体" w:hAnsi="宋体" w:eastAsia="宋体" w:cs="宋体"/>
                <w:sz w:val="20"/>
                <w:szCs w:val="20"/>
                <w:highlight w:val="none"/>
                <w:lang w:val="en-US" w:eastAsia="zh-CN"/>
              </w:rPr>
              <w:t>工作</w:t>
            </w:r>
            <w:r>
              <w:rPr>
                <w:rFonts w:hint="eastAsia" w:ascii="宋体" w:hAnsi="宋体" w:eastAsia="宋体" w:cs="宋体"/>
                <w:sz w:val="20"/>
                <w:szCs w:val="20"/>
                <w:highlight w:val="none"/>
              </w:rPr>
              <w:t>。属于已批未备案的，各地级以上市自然资源主管部门应在</w:t>
            </w:r>
            <w:r>
              <w:rPr>
                <w:rFonts w:hint="eastAsia" w:ascii="宋体" w:hAnsi="宋体" w:eastAsia="宋体" w:cs="宋体"/>
                <w:sz w:val="20"/>
                <w:szCs w:val="20"/>
                <w:highlight w:val="none"/>
                <w:lang w:val="en-US" w:eastAsia="zh-CN"/>
              </w:rPr>
              <w:t>部省相关备案</w:t>
            </w:r>
            <w:r>
              <w:rPr>
                <w:rFonts w:hint="eastAsia" w:ascii="宋体" w:hAnsi="宋体" w:eastAsia="宋体" w:cs="宋体"/>
                <w:sz w:val="20"/>
                <w:szCs w:val="20"/>
                <w:highlight w:val="none"/>
              </w:rPr>
              <w:t>系统上报备案。</w:t>
            </w:r>
          </w:p>
          <w:p>
            <w:pPr>
              <w:widowControl/>
              <w:spacing w:line="240" w:lineRule="auto"/>
              <w:ind w:firstLine="400" w:firstLineChars="200"/>
              <w:jc w:val="left"/>
              <w:outlineLvl w:val="9"/>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本项目工作内容包括三部分：（1）深圳市2025年度城市（镇）分批次建设项目用地批后评估。</w:t>
            </w:r>
            <w:r>
              <w:rPr>
                <w:rFonts w:hint="eastAsia" w:ascii="宋体" w:hAnsi="宋体" w:eastAsia="宋体" w:cs="宋体"/>
                <w:sz w:val="20"/>
                <w:szCs w:val="20"/>
                <w:highlight w:val="none"/>
              </w:rPr>
              <w:t>根据部、省每年开展“双随机、一公开”检查工作的有关规定和要求，对我市农转用工作实施批后监督评估，</w:t>
            </w:r>
            <w:r>
              <w:rPr>
                <w:rFonts w:hint="eastAsia" w:ascii="宋体" w:hAnsi="宋体" w:eastAsia="宋体" w:cs="宋体"/>
                <w:sz w:val="20"/>
                <w:szCs w:val="20"/>
                <w:highlight w:val="none"/>
                <w:lang w:val="en-US" w:eastAsia="zh-CN"/>
              </w:rPr>
              <w:t>为</w:t>
            </w:r>
            <w:r>
              <w:rPr>
                <w:rFonts w:hint="eastAsia" w:ascii="宋体" w:hAnsi="宋体" w:eastAsia="宋体" w:cs="宋体"/>
                <w:sz w:val="20"/>
                <w:szCs w:val="20"/>
                <w:highlight w:val="none"/>
              </w:rPr>
              <w:t>进一步提升农转用工作组卷质量和效率提供支持保障</w:t>
            </w:r>
            <w:r>
              <w:rPr>
                <w:rFonts w:hint="eastAsia" w:ascii="宋体" w:hAnsi="宋体" w:eastAsia="宋体" w:cs="宋体"/>
                <w:sz w:val="20"/>
                <w:szCs w:val="20"/>
                <w:highlight w:val="none"/>
                <w:lang w:val="en-US" w:eastAsia="zh-CN"/>
              </w:rPr>
              <w:t>；（2）深圳市2025年度农转用方案撤回方案评估。全面梳理全市批而未供土地用地批准情况，为撤回批文上报市政府批准并通过部、省相关系统上报备案提供基础数据支持；（3）深圳市2025年度已批未备案农转用方案清查评估。全面梳理未备案已批建设用地情况清单，为各管理局将未备案批次尽快提交技术核查、完成补正并备案提供建设性意见。</w:t>
            </w:r>
          </w:p>
          <w:p>
            <w:pPr>
              <w:keepNext w:val="0"/>
              <w:keepLines w:val="0"/>
              <w:pageBreakBefore w:val="0"/>
              <w:widowControl w:val="0"/>
              <w:numPr>
                <w:ilvl w:val="0"/>
                <w:numId w:val="1"/>
              </w:numPr>
              <w:kinsoku/>
              <w:overflowPunct/>
              <w:topLinePunct w:val="0"/>
              <w:autoSpaceDE/>
              <w:autoSpaceDN/>
              <w:bidi w:val="0"/>
              <w:spacing w:before="62" w:beforeLines="20" w:line="440" w:lineRule="exact"/>
              <w:ind w:firstLine="402" w:firstLineChars="200"/>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val="en-US" w:eastAsia="zh-CN"/>
              </w:rPr>
              <w:t>项目用途</w:t>
            </w:r>
          </w:p>
          <w:p>
            <w:pPr>
              <w:widowControl/>
              <w:spacing w:line="240" w:lineRule="auto"/>
              <w:ind w:firstLine="400" w:firstLineChars="200"/>
              <w:jc w:val="left"/>
              <w:outlineLvl w:val="9"/>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本项目旨在通过农转用方案批后评估，及时有效“发现问题、解决问题”，进一步规范全流程审批工作；切实做好用地批准文件失效和撤回工作，促进批而未供土地消化、调整、盘活、利用，缓解建设用地供需矛盾，优化资源配置，促进土地集约节约利用；开展建设用地审批信息补录备案及错误备案信息修改工作，确保农转用批准文件的有效性和土地供应程序的合规性。开展本项目对于强化批后监督管理、重新激活土地效能、完善已批农转用基础数据具有重要意义。</w:t>
            </w:r>
          </w:p>
          <w:p>
            <w:pPr>
              <w:keepNext w:val="0"/>
              <w:keepLines w:val="0"/>
              <w:pageBreakBefore w:val="0"/>
              <w:widowControl w:val="0"/>
              <w:numPr>
                <w:ilvl w:val="0"/>
                <w:numId w:val="1"/>
              </w:numPr>
              <w:kinsoku/>
              <w:overflowPunct/>
              <w:topLinePunct w:val="0"/>
              <w:autoSpaceDE/>
              <w:autoSpaceDN/>
              <w:bidi w:val="0"/>
              <w:spacing w:before="62" w:beforeLines="20" w:line="440" w:lineRule="exact"/>
              <w:ind w:firstLine="402" w:firstLineChars="200"/>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项目成果数量</w:t>
            </w:r>
          </w:p>
          <w:p>
            <w:pPr>
              <w:widowControl/>
              <w:spacing w:line="240" w:lineRule="auto"/>
              <w:ind w:firstLine="400" w:firstLineChars="200"/>
              <w:jc w:val="left"/>
              <w:outlineLvl w:val="9"/>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（1）深圳市2025年度农转用方案批后、撤回以及已批未备案清查方案符合性评估工作报告（word格式，电子、纸质，数量1）；</w:t>
            </w:r>
          </w:p>
          <w:p>
            <w:pPr>
              <w:widowControl/>
              <w:spacing w:line="240" w:lineRule="auto"/>
              <w:ind w:firstLine="400" w:firstLineChars="200"/>
              <w:jc w:val="left"/>
              <w:outlineLvl w:val="9"/>
              <w:rPr>
                <w:rFonts w:hint="default"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（2）深圳市2025年度农转用方案批后、撤回以及已批未备案清查方案符合性评估台账（xls格式，电子、纸质，数量1）。</w:t>
            </w:r>
          </w:p>
          <w:p>
            <w:pPr>
              <w:keepNext w:val="0"/>
              <w:keepLines w:val="0"/>
              <w:pageBreakBefore w:val="0"/>
              <w:widowControl w:val="0"/>
              <w:numPr>
                <w:ilvl w:val="0"/>
                <w:numId w:val="1"/>
              </w:numPr>
              <w:kinsoku/>
              <w:overflowPunct/>
              <w:topLinePunct w:val="0"/>
              <w:autoSpaceDE/>
              <w:autoSpaceDN/>
              <w:bidi w:val="0"/>
              <w:spacing w:before="62" w:beforeLines="20" w:line="440" w:lineRule="exact"/>
              <w:ind w:firstLine="402" w:firstLineChars="200"/>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简要技术需求</w:t>
            </w:r>
          </w:p>
          <w:p>
            <w:pPr>
              <w:widowControl/>
              <w:spacing w:line="240" w:lineRule="auto"/>
              <w:ind w:firstLine="400" w:firstLineChars="200"/>
              <w:jc w:val="left"/>
              <w:outlineLvl w:val="9"/>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（1）项目成果要严格依照国家颁布的有关法律、法规及政策要求，符合相关的技术规范和标准；</w:t>
            </w:r>
          </w:p>
          <w:p>
            <w:pPr>
              <w:widowControl/>
              <w:spacing w:line="240" w:lineRule="auto"/>
              <w:ind w:firstLine="400" w:firstLineChars="200"/>
              <w:jc w:val="left"/>
              <w:outlineLvl w:val="9"/>
              <w:rPr>
                <w:rFonts w:hint="eastAsia"/>
                <w:highlight w:val="none"/>
              </w:rPr>
            </w:pPr>
            <w:r>
              <w:rPr>
                <w:rFonts w:hint="eastAsia" w:ascii="宋体" w:hAnsi="宋体" w:eastAsia="宋体" w:cs="宋体"/>
                <w:sz w:val="20"/>
                <w:szCs w:val="20"/>
                <w:highlight w:val="none"/>
                <w:lang w:val="en-US" w:eastAsia="zh-CN"/>
              </w:rPr>
              <w:t>（2）项目成果应做到规则制定科学合理，符合深圳实际情况，便于理解且具有可操作性。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keepNext w:val="0"/>
              <w:keepLines w:val="0"/>
              <w:pageBreakBefore w:val="0"/>
              <w:widowControl w:val="0"/>
              <w:kinsoku/>
              <w:overflowPunct/>
              <w:topLinePunct w:val="0"/>
              <w:autoSpaceDE/>
              <w:autoSpaceDN/>
              <w:bidi w:val="0"/>
              <w:spacing w:line="440" w:lineRule="exact"/>
              <w:rPr>
                <w:rFonts w:hint="eastAsia" w:ascii="宋体" w:hAnsi="宋体" w:eastAsia="宋体" w:cs="宋体"/>
                <w:bCs/>
                <w:color w:val="000000" w:themeColor="text1"/>
                <w:sz w:val="20"/>
                <w:szCs w:val="20"/>
                <w:highlight w:val="none"/>
                <w14:textFill>
                  <w14:solidFill>
                    <w14:schemeClr w14:val="tx1"/>
                  </w14:solidFill>
                </w14:textFill>
              </w:rPr>
            </w:pPr>
            <w:r>
              <w:rPr>
                <w:rFonts w:hint="eastAsia" w:ascii="宋体" w:hAnsi="宋体" w:eastAsia="宋体" w:cs="宋体"/>
                <w:bCs/>
                <w:color w:val="000000" w:themeColor="text1"/>
                <w:sz w:val="20"/>
                <w:szCs w:val="20"/>
                <w:highlight w:val="none"/>
                <w14:textFill>
                  <w14:solidFill>
                    <w14:schemeClr w14:val="tx1"/>
                  </w14:solidFill>
                </w14:textFill>
              </w:rPr>
              <w:t>拟定供应商名单：</w:t>
            </w:r>
          </w:p>
          <w:p>
            <w:pPr>
              <w:keepNext w:val="0"/>
              <w:keepLines w:val="0"/>
              <w:pageBreakBefore w:val="0"/>
              <w:widowControl w:val="0"/>
              <w:kinsoku/>
              <w:overflowPunct/>
              <w:topLinePunct w:val="0"/>
              <w:autoSpaceDE/>
              <w:autoSpaceDN/>
              <w:bidi w:val="0"/>
              <w:spacing w:before="62" w:beforeLines="20" w:line="440" w:lineRule="exact"/>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sz w:val="20"/>
                <w:szCs w:val="20"/>
                <w:highlight w:val="none"/>
                <w:lang w:val="en-US" w:eastAsia="zh-CN"/>
              </w:rPr>
              <w:t>深圳市规划国土发展研究中心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keepNext w:val="0"/>
              <w:keepLines w:val="0"/>
              <w:pageBreakBefore w:val="0"/>
              <w:widowControl w:val="0"/>
              <w:kinsoku/>
              <w:overflowPunct/>
              <w:topLinePunct w:val="0"/>
              <w:autoSpaceDE/>
              <w:autoSpaceDN/>
              <w:bidi w:val="0"/>
              <w:spacing w:line="440" w:lineRule="exact"/>
              <w:rPr>
                <w:rFonts w:hint="eastAsia" w:ascii="宋体" w:hAnsi="宋体" w:eastAsia="宋体" w:cs="宋体"/>
                <w:bCs/>
                <w:color w:val="000000" w:themeColor="text1"/>
                <w:sz w:val="20"/>
                <w:szCs w:val="20"/>
                <w:highlight w:val="none"/>
                <w14:textFill>
                  <w14:solidFill>
                    <w14:schemeClr w14:val="tx1"/>
                  </w14:solidFill>
                </w14:textFill>
              </w:rPr>
            </w:pPr>
            <w:r>
              <w:rPr>
                <w:rFonts w:hint="eastAsia" w:ascii="宋体" w:hAnsi="宋体" w:eastAsia="宋体" w:cs="宋体"/>
                <w:bCs/>
                <w:color w:val="000000" w:themeColor="text1"/>
                <w:sz w:val="20"/>
                <w:szCs w:val="20"/>
                <w:highlight w:val="none"/>
                <w14:textFill>
                  <w14:solidFill>
                    <w14:schemeClr w14:val="tx1"/>
                  </w14:solidFill>
                </w14:textFill>
              </w:rPr>
              <w:t>申请理由及相关说明：</w:t>
            </w:r>
          </w:p>
          <w:p>
            <w:pPr>
              <w:keepNext w:val="0"/>
              <w:keepLines w:val="0"/>
              <w:pageBreakBefore w:val="0"/>
              <w:widowControl w:val="0"/>
              <w:kinsoku/>
              <w:overflowPunct/>
              <w:topLinePunct w:val="0"/>
              <w:autoSpaceDE/>
              <w:autoSpaceDN/>
              <w:bidi w:val="0"/>
              <w:ind w:firstLine="400" w:firstLineChars="200"/>
              <w:rPr>
                <w:rFonts w:hint="eastAsia" w:ascii="宋体" w:hAnsi="宋体" w:eastAsia="宋体" w:cs="宋体"/>
                <w:color w:val="000000" w:themeColor="text1"/>
                <w:sz w:val="20"/>
                <w:szCs w:val="20"/>
                <w:highlight w:val="none"/>
                <w:lang w:val="en"/>
                <w14:textFill>
                  <w14:solidFill>
                    <w14:schemeClr w14:val="tx1"/>
                  </w14:solidFill>
                </w14:textFill>
              </w:rPr>
            </w:pPr>
            <w:r>
              <w:rPr>
                <w:rFonts w:hint="eastAsia" w:ascii="宋体" w:hAnsi="宋体" w:eastAsia="宋体" w:cs="宋体"/>
                <w:caps w:val="0"/>
                <w:spacing w:val="0"/>
                <w:sz w:val="20"/>
                <w:szCs w:val="20"/>
                <w:highlight w:val="none"/>
                <w:shd w:val="clear"/>
              </w:rPr>
              <w:t>农转用方案批后、撤回以及已批未备案清查工作与农转用报批</w:t>
            </w:r>
            <w:r>
              <w:rPr>
                <w:rFonts w:hint="eastAsia" w:ascii="宋体" w:hAnsi="宋体" w:eastAsia="宋体" w:cs="宋体"/>
                <w:caps w:val="0"/>
                <w:spacing w:val="0"/>
                <w:sz w:val="20"/>
                <w:szCs w:val="20"/>
                <w:highlight w:val="none"/>
                <w:shd w:val="clear"/>
                <w:lang w:eastAsia="zh-CN"/>
              </w:rPr>
              <w:t>、</w:t>
            </w:r>
            <w:r>
              <w:rPr>
                <w:rFonts w:hint="eastAsia" w:ascii="宋体" w:hAnsi="宋体" w:eastAsia="宋体" w:cs="宋体"/>
                <w:caps w:val="0"/>
                <w:spacing w:val="0"/>
                <w:sz w:val="20"/>
                <w:szCs w:val="20"/>
                <w:highlight w:val="none"/>
                <w:shd w:val="clear"/>
                <w:lang w:val="en-US" w:eastAsia="zh-CN"/>
              </w:rPr>
              <w:t>批而未供处置</w:t>
            </w:r>
            <w:r>
              <w:rPr>
                <w:rFonts w:hint="eastAsia" w:ascii="宋体" w:hAnsi="宋体" w:eastAsia="宋体" w:cs="宋体"/>
                <w:caps w:val="0"/>
                <w:spacing w:val="0"/>
                <w:sz w:val="20"/>
                <w:szCs w:val="20"/>
                <w:highlight w:val="none"/>
                <w:shd w:val="clear"/>
              </w:rPr>
              <w:t>等关联紧密，</w:t>
            </w:r>
            <w:r>
              <w:rPr>
                <w:rFonts w:hint="eastAsia" w:ascii="宋体" w:hAnsi="宋体" w:eastAsia="宋体" w:cs="宋体"/>
                <w:caps w:val="0"/>
                <w:spacing w:val="0"/>
                <w:sz w:val="20"/>
                <w:szCs w:val="20"/>
                <w:highlight w:val="none"/>
                <w:shd w:val="clear"/>
                <w:lang w:val="en-US" w:eastAsia="zh-CN"/>
              </w:rPr>
              <w:t>业务</w:t>
            </w:r>
            <w:r>
              <w:rPr>
                <w:rFonts w:hint="eastAsia" w:ascii="宋体" w:hAnsi="宋体" w:eastAsia="宋体" w:cs="宋体"/>
                <w:caps w:val="0"/>
                <w:spacing w:val="0"/>
                <w:sz w:val="20"/>
                <w:szCs w:val="20"/>
                <w:highlight w:val="none"/>
                <w:shd w:val="clear"/>
              </w:rPr>
              <w:t>衔接性强、技术要求高。深圳市规划国土发展研究中心具有农转用报批</w:t>
            </w:r>
            <w:r>
              <w:rPr>
                <w:rFonts w:hint="eastAsia" w:ascii="宋体" w:hAnsi="宋体" w:eastAsia="宋体" w:cs="宋体"/>
                <w:caps w:val="0"/>
                <w:spacing w:val="0"/>
                <w:sz w:val="20"/>
                <w:szCs w:val="20"/>
                <w:highlight w:val="none"/>
                <w:shd w:val="clear"/>
                <w:lang w:eastAsia="zh-CN"/>
              </w:rPr>
              <w:t>、</w:t>
            </w:r>
            <w:r>
              <w:rPr>
                <w:rFonts w:hint="eastAsia" w:ascii="宋体" w:hAnsi="宋体" w:eastAsia="宋体" w:cs="宋体"/>
                <w:caps w:val="0"/>
                <w:spacing w:val="0"/>
                <w:sz w:val="20"/>
                <w:szCs w:val="20"/>
                <w:highlight w:val="none"/>
                <w:shd w:val="clear"/>
                <w:lang w:val="en-US" w:eastAsia="zh-CN"/>
              </w:rPr>
              <w:t>批而未供处置</w:t>
            </w:r>
            <w:r>
              <w:rPr>
                <w:rFonts w:hint="eastAsia" w:ascii="宋体" w:hAnsi="宋体" w:eastAsia="宋体" w:cs="宋体"/>
                <w:caps w:val="0"/>
                <w:spacing w:val="0"/>
                <w:sz w:val="20"/>
                <w:szCs w:val="20"/>
                <w:highlight w:val="none"/>
                <w:shd w:val="clear"/>
              </w:rPr>
              <w:t>等多项业务的长期工作经验，人员队伍稳定、专业性强，能确保提供实时有效的专业技术支持。根据《深圳经济特区政府采购条例》第二十一条“（三）为了保证与原有政府采购项目的一致性或者服务配套的要求，需要向原供应商添购的”，基于前期相关工作的延续性，以及深圳市规划国土发展研究中心职能定位、同类项目业绩情况，申请采用单一来源采购的方式确定供应商，供应商为深圳市规划国土发展研究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keepNext w:val="0"/>
              <w:keepLines w:val="0"/>
              <w:pageBreakBefore w:val="0"/>
              <w:widowControl w:val="0"/>
              <w:kinsoku/>
              <w:overflowPunct/>
              <w:topLinePunct w:val="0"/>
              <w:autoSpaceDE/>
              <w:autoSpaceDN/>
              <w:bidi w:val="0"/>
              <w:spacing w:line="440" w:lineRule="exact"/>
              <w:rPr>
                <w:rFonts w:hint="eastAsia" w:ascii="宋体" w:hAnsi="宋体" w:eastAsia="宋体" w:cs="宋体"/>
                <w:bCs/>
                <w:color w:val="000000" w:themeColor="text1"/>
                <w:sz w:val="20"/>
                <w:szCs w:val="20"/>
                <w:highlight w:val="none"/>
                <w14:textFill>
                  <w14:solidFill>
                    <w14:schemeClr w14:val="tx1"/>
                  </w14:solidFill>
                </w14:textFill>
              </w:rPr>
            </w:pPr>
            <w:r>
              <w:rPr>
                <w:rFonts w:hint="eastAsia" w:ascii="宋体" w:hAnsi="宋体" w:eastAsia="宋体" w:cs="宋体"/>
                <w:bCs/>
                <w:color w:val="000000" w:themeColor="text1"/>
                <w:sz w:val="20"/>
                <w:szCs w:val="20"/>
                <w:highlight w:val="none"/>
                <w14:textFill>
                  <w14:solidFill>
                    <w14:schemeClr w14:val="tx1"/>
                  </w14:solidFill>
                </w14:textFill>
              </w:rPr>
              <w:t>征求意见期限：</w:t>
            </w:r>
          </w:p>
          <w:p>
            <w:pPr>
              <w:keepNext w:val="0"/>
              <w:keepLines w:val="0"/>
              <w:pageBreakBefore w:val="0"/>
              <w:widowControl w:val="0"/>
              <w:kinsoku/>
              <w:overflowPunct/>
              <w:topLinePunct w:val="0"/>
              <w:autoSpaceDE/>
              <w:autoSpaceDN/>
              <w:bidi w:val="0"/>
              <w:spacing w:before="62" w:beforeLines="20" w:after="62" w:afterLines="20" w:line="440" w:lineRule="exact"/>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bookmarkStart w:id="0" w:name="_GoBack"/>
            <w:r>
              <w:rPr>
                <w:rFonts w:hint="eastAsia" w:ascii="宋体" w:hAnsi="宋体" w:eastAsia="宋体" w:cs="宋体"/>
                <w:color w:val="000000" w:themeColor="text1"/>
                <w:sz w:val="20"/>
                <w:szCs w:val="20"/>
                <w:highlight w:val="none"/>
                <w14:textFill>
                  <w14:solidFill>
                    <w14:schemeClr w14:val="tx1"/>
                  </w14:solidFill>
                </w14:textFill>
              </w:rPr>
              <w:t>从20</w:t>
            </w:r>
            <w:r>
              <w:rPr>
                <w:rFonts w:hint="eastAsia" w:ascii="宋体" w:hAnsi="宋体" w:eastAsia="宋体" w:cs="宋体"/>
                <w:color w:val="000000" w:themeColor="text1"/>
                <w:sz w:val="20"/>
                <w:szCs w:val="20"/>
                <w:highlight w:val="none"/>
                <w:lang w:val="en-US" w:eastAsia="zh-CN"/>
                <w14:textFill>
                  <w14:solidFill>
                    <w14:schemeClr w14:val="tx1"/>
                  </w14:solidFill>
                </w14:textFill>
              </w:rPr>
              <w:t>25</w:t>
            </w:r>
            <w:r>
              <w:rPr>
                <w:rFonts w:hint="eastAsia" w:ascii="宋体" w:hAnsi="宋体" w:eastAsia="宋体" w:cs="宋体"/>
                <w:color w:val="000000" w:themeColor="text1"/>
                <w:sz w:val="20"/>
                <w:szCs w:val="20"/>
                <w:highlight w:val="none"/>
                <w14:textFill>
                  <w14:solidFill>
                    <w14:schemeClr w14:val="tx1"/>
                  </w14:solidFill>
                </w14:textFill>
              </w:rPr>
              <w:t>年</w:t>
            </w:r>
            <w:r>
              <w:rPr>
                <w:rFonts w:hint="eastAsia" w:ascii="宋体" w:hAnsi="宋体" w:eastAsia="宋体" w:cs="宋体"/>
                <w:color w:val="000000" w:themeColor="text1"/>
                <w:sz w:val="20"/>
                <w:szCs w:val="20"/>
                <w:highlight w:val="none"/>
                <w:lang w:val="en-US" w:eastAsia="zh-CN"/>
                <w14:textFill>
                  <w14:solidFill>
                    <w14:schemeClr w14:val="tx1"/>
                  </w14:solidFill>
                </w14:textFill>
              </w:rPr>
              <w:t>5</w:t>
            </w:r>
            <w:r>
              <w:rPr>
                <w:rFonts w:hint="eastAsia" w:ascii="宋体" w:hAnsi="宋体" w:eastAsia="宋体" w:cs="宋体"/>
                <w:color w:val="000000" w:themeColor="text1"/>
                <w:sz w:val="20"/>
                <w:szCs w:val="20"/>
                <w:highlight w:val="none"/>
                <w14:textFill>
                  <w14:solidFill>
                    <w14:schemeClr w14:val="tx1"/>
                  </w14:solidFill>
                </w14:textFill>
              </w:rPr>
              <w:t>月</w:t>
            </w:r>
            <w:r>
              <w:rPr>
                <w:rFonts w:hint="eastAsia" w:ascii="宋体" w:hAnsi="宋体" w:eastAsia="宋体" w:cs="宋体"/>
                <w:color w:val="000000" w:themeColor="text1"/>
                <w:sz w:val="20"/>
                <w:szCs w:val="20"/>
                <w:highlight w:val="none"/>
                <w:lang w:val="en-US" w:eastAsia="zh-CN"/>
                <w14:textFill>
                  <w14:solidFill>
                    <w14:schemeClr w14:val="tx1"/>
                  </w14:solidFill>
                </w14:textFill>
              </w:rPr>
              <w:t>6</w:t>
            </w:r>
            <w:r>
              <w:rPr>
                <w:rFonts w:hint="eastAsia" w:ascii="宋体" w:hAnsi="宋体" w:eastAsia="宋体" w:cs="宋体"/>
                <w:color w:val="000000" w:themeColor="text1"/>
                <w:sz w:val="20"/>
                <w:szCs w:val="20"/>
                <w:highlight w:val="none"/>
                <w14:textFill>
                  <w14:solidFill>
                    <w14:schemeClr w14:val="tx1"/>
                  </w14:solidFill>
                </w14:textFill>
              </w:rPr>
              <w:t>日起至20</w:t>
            </w:r>
            <w:r>
              <w:rPr>
                <w:rFonts w:hint="eastAsia" w:ascii="宋体" w:hAnsi="宋体" w:eastAsia="宋体" w:cs="宋体"/>
                <w:color w:val="000000" w:themeColor="text1"/>
                <w:sz w:val="20"/>
                <w:szCs w:val="20"/>
                <w:highlight w:val="none"/>
                <w:lang w:val="en-US" w:eastAsia="zh-CN"/>
                <w14:textFill>
                  <w14:solidFill>
                    <w14:schemeClr w14:val="tx1"/>
                  </w14:solidFill>
                </w14:textFill>
              </w:rPr>
              <w:t>25</w:t>
            </w:r>
            <w:r>
              <w:rPr>
                <w:rFonts w:hint="eastAsia" w:ascii="宋体" w:hAnsi="宋体" w:eastAsia="宋体" w:cs="宋体"/>
                <w:color w:val="000000" w:themeColor="text1"/>
                <w:sz w:val="20"/>
                <w:szCs w:val="20"/>
                <w:highlight w:val="none"/>
                <w14:textFill>
                  <w14:solidFill>
                    <w14:schemeClr w14:val="tx1"/>
                  </w14:solidFill>
                </w14:textFill>
              </w:rPr>
              <w:t>年</w:t>
            </w:r>
            <w:r>
              <w:rPr>
                <w:rFonts w:hint="eastAsia" w:ascii="宋体" w:hAnsi="宋体" w:eastAsia="宋体" w:cs="宋体"/>
                <w:color w:val="000000" w:themeColor="text1"/>
                <w:sz w:val="20"/>
                <w:szCs w:val="20"/>
                <w:highlight w:val="none"/>
                <w:lang w:val="en-US" w:eastAsia="zh-CN"/>
                <w14:textFill>
                  <w14:solidFill>
                    <w14:schemeClr w14:val="tx1"/>
                  </w14:solidFill>
                </w14:textFill>
              </w:rPr>
              <w:t>5</w:t>
            </w:r>
            <w:r>
              <w:rPr>
                <w:rFonts w:hint="eastAsia" w:ascii="宋体" w:hAnsi="宋体" w:eastAsia="宋体" w:cs="宋体"/>
                <w:color w:val="000000" w:themeColor="text1"/>
                <w:sz w:val="20"/>
                <w:szCs w:val="20"/>
                <w:highlight w:val="none"/>
                <w14:textFill>
                  <w14:solidFill>
                    <w14:schemeClr w14:val="tx1"/>
                  </w14:solidFill>
                </w14:textFill>
              </w:rPr>
              <w:t>月</w:t>
            </w:r>
            <w:r>
              <w:rPr>
                <w:rFonts w:hint="eastAsia" w:ascii="宋体" w:hAnsi="宋体" w:eastAsia="宋体" w:cs="宋体"/>
                <w:color w:val="000000" w:themeColor="text1"/>
                <w:sz w:val="20"/>
                <w:szCs w:val="20"/>
                <w:highlight w:val="none"/>
                <w:lang w:val="en-US" w:eastAsia="zh-CN"/>
                <w14:textFill>
                  <w14:solidFill>
                    <w14:schemeClr w14:val="tx1"/>
                  </w14:solidFill>
                </w14:textFill>
              </w:rPr>
              <w:t>1</w:t>
            </w:r>
            <w:r>
              <w:rPr>
                <w:rFonts w:hint="eastAsia" w:ascii="宋体" w:hAnsi="宋体" w:eastAsia="宋体" w:cs="宋体"/>
                <w:color w:val="000000" w:themeColor="text1"/>
                <w:sz w:val="20"/>
                <w:szCs w:val="20"/>
                <w:highlight w:val="none"/>
                <w:lang w:val="en-US" w:eastAsia="zh-CN"/>
                <w14:textFill>
                  <w14:solidFill>
                    <w14:schemeClr w14:val="tx1"/>
                  </w14:solidFill>
                </w14:textFill>
              </w:rPr>
              <w:t>2</w:t>
            </w:r>
            <w:r>
              <w:rPr>
                <w:rFonts w:hint="eastAsia" w:ascii="宋体" w:hAnsi="宋体" w:eastAsia="宋体" w:cs="宋体"/>
                <w:color w:val="000000" w:themeColor="text1"/>
                <w:sz w:val="20"/>
                <w:szCs w:val="20"/>
                <w:highlight w:val="none"/>
                <w14:textFill>
                  <w14:solidFill>
                    <w14:schemeClr w14:val="tx1"/>
                  </w14:solidFill>
                </w14:textFill>
              </w:rPr>
              <w:t>日止</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keepNext w:val="0"/>
              <w:keepLines w:val="0"/>
              <w:pageBreakBefore w:val="0"/>
              <w:widowControl w:val="0"/>
              <w:kinsoku/>
              <w:overflowPunct/>
              <w:topLinePunct w:val="0"/>
              <w:autoSpaceDE/>
              <w:autoSpaceDN/>
              <w:bidi w:val="0"/>
              <w:spacing w:line="440" w:lineRule="exact"/>
              <w:rPr>
                <w:rFonts w:hint="eastAsia" w:ascii="宋体" w:hAnsi="宋体" w:eastAsia="宋体" w:cs="宋体"/>
                <w:bCs/>
                <w:color w:val="000000" w:themeColor="text1"/>
                <w:sz w:val="20"/>
                <w:szCs w:val="20"/>
                <w:highlight w:val="none"/>
                <w14:textFill>
                  <w14:solidFill>
                    <w14:schemeClr w14:val="tx1"/>
                  </w14:solidFill>
                </w14:textFill>
              </w:rPr>
            </w:pPr>
            <w:r>
              <w:rPr>
                <w:rFonts w:hint="eastAsia" w:ascii="宋体" w:hAnsi="宋体" w:eastAsia="宋体" w:cs="宋体"/>
                <w:bCs/>
                <w:color w:val="000000" w:themeColor="text1"/>
                <w:sz w:val="20"/>
                <w:szCs w:val="20"/>
                <w:highlight w:val="none"/>
                <w14:textFill>
                  <w14:solidFill>
                    <w14:schemeClr w14:val="tx1"/>
                  </w14:solidFill>
                </w14:textFill>
              </w:rPr>
              <w:t>联系方式：</w:t>
            </w:r>
          </w:p>
          <w:p>
            <w:pPr>
              <w:widowControl/>
              <w:spacing w:line="240" w:lineRule="auto"/>
              <w:ind w:firstLine="400" w:firstLineChars="200"/>
              <w:jc w:val="left"/>
              <w:outlineLvl w:val="9"/>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采购人：深圳市规划和自然资源局</w:t>
            </w:r>
          </w:p>
          <w:p>
            <w:pPr>
              <w:widowControl/>
              <w:spacing w:line="240" w:lineRule="auto"/>
              <w:ind w:firstLine="400" w:firstLineChars="200"/>
              <w:jc w:val="left"/>
              <w:outlineLvl w:val="9"/>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联系人：谭工</w:t>
            </w:r>
          </w:p>
          <w:p>
            <w:pPr>
              <w:widowControl/>
              <w:spacing w:line="240" w:lineRule="auto"/>
              <w:ind w:firstLine="400" w:firstLineChars="200"/>
              <w:jc w:val="left"/>
              <w:outlineLvl w:val="9"/>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地址：深圳市红荔西路8009号规划大厦</w:t>
            </w:r>
          </w:p>
          <w:p>
            <w:pPr>
              <w:widowControl/>
              <w:spacing w:line="240" w:lineRule="auto"/>
              <w:ind w:firstLine="400" w:firstLineChars="200"/>
              <w:jc w:val="left"/>
              <w:outlineLvl w:val="9"/>
              <w:rPr>
                <w:rFonts w:hint="eastAsia"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sz w:val="20"/>
                <w:szCs w:val="20"/>
                <w:highlight w:val="none"/>
                <w:lang w:val="en-US" w:eastAsia="zh-CN"/>
              </w:rPr>
              <w:t>联系电话：0755-83949591           传真：</w:t>
            </w:r>
            <w:r>
              <w:rPr>
                <w:rFonts w:hint="eastAsia" w:ascii="宋体" w:hAnsi="宋体" w:eastAsia="宋体" w:cs="宋体"/>
                <w:sz w:val="20"/>
                <w:szCs w:val="20"/>
                <w:highlight w:val="none"/>
              </w:rPr>
              <w:t>0755-83949002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keepNext w:val="0"/>
              <w:keepLines w:val="0"/>
              <w:pageBreakBefore w:val="0"/>
              <w:widowControl w:val="0"/>
              <w:kinsoku/>
              <w:overflowPunct/>
              <w:topLinePunct w:val="0"/>
              <w:autoSpaceDE/>
              <w:autoSpaceDN/>
              <w:bidi w:val="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bCs/>
                <w:color w:val="000000" w:themeColor="text1"/>
                <w:sz w:val="20"/>
                <w:szCs w:val="20"/>
                <w:highlight w:val="none"/>
                <w14:textFill>
                  <w14:solidFill>
                    <w14:schemeClr w14:val="tx1"/>
                  </w14:solidFill>
                </w14:textFill>
              </w:rPr>
              <w:t>备注：</w:t>
            </w:r>
            <w:r>
              <w:rPr>
                <w:rFonts w:hint="eastAsia" w:ascii="宋体" w:hAnsi="宋体" w:eastAsia="宋体" w:cs="宋体"/>
                <w:color w:val="000000" w:themeColor="text1"/>
                <w:sz w:val="20"/>
                <w:szCs w:val="20"/>
                <w:highlight w:val="none"/>
                <w14:textFill>
                  <w14:solidFill>
                    <w14:schemeClr w14:val="tx1"/>
                  </w14:solidFill>
                </w14:textFill>
              </w:rPr>
              <w:t>潜在政府采购供应商对公示内容有异议的，请于</w:t>
            </w:r>
            <w:r>
              <w:rPr>
                <w:rFonts w:hint="eastAsia" w:ascii="宋体" w:hAnsi="宋体" w:eastAsia="宋体" w:cs="宋体"/>
                <w:bCs/>
                <w:color w:val="000000" w:themeColor="text1"/>
                <w:sz w:val="20"/>
                <w:szCs w:val="20"/>
                <w:highlight w:val="none"/>
                <w14:textFill>
                  <w14:solidFill>
                    <w14:schemeClr w14:val="tx1"/>
                  </w14:solidFill>
                </w14:textFill>
              </w:rPr>
              <w:t>公示之日起至期满后两个工作日内</w:t>
            </w:r>
            <w:r>
              <w:rPr>
                <w:rFonts w:hint="eastAsia" w:ascii="宋体" w:hAnsi="宋体" w:eastAsia="宋体" w:cs="宋体"/>
                <w:color w:val="000000" w:themeColor="text1"/>
                <w:sz w:val="20"/>
                <w:szCs w:val="20"/>
                <w:highlight w:val="none"/>
                <w14:textFill>
                  <w14:solidFill>
                    <w14:schemeClr w14:val="tx1"/>
                  </w14:solidFill>
                </w14:textFill>
              </w:rPr>
              <w:t>以实名书面（包括联系人、地址、联系电话）形式将意见反馈至</w:t>
            </w:r>
            <w:r>
              <w:rPr>
                <w:rFonts w:hint="eastAsia" w:ascii="宋体" w:hAnsi="宋体" w:eastAsia="宋体" w:cs="宋体"/>
                <w:color w:val="000000" w:themeColor="text1"/>
                <w:kern w:val="0"/>
                <w:sz w:val="20"/>
                <w:szCs w:val="20"/>
                <w:highlight w:val="none"/>
                <w14:textFill>
                  <w14:solidFill>
                    <w14:schemeClr w14:val="tx1"/>
                  </w14:solidFill>
                </w14:textFill>
              </w:rPr>
              <w:t>深圳市规划和自然资源局</w:t>
            </w: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/深圳市海洋发展局</w:t>
            </w:r>
            <w:r>
              <w:rPr>
                <w:rFonts w:hint="eastAsia" w:ascii="宋体" w:hAnsi="宋体" w:eastAsia="宋体" w:cs="宋体"/>
                <w:color w:val="000000" w:themeColor="text1"/>
                <w:kern w:val="0"/>
                <w:sz w:val="20"/>
                <w:szCs w:val="20"/>
                <w:highlight w:val="none"/>
                <w14:textFill>
                  <w14:solidFill>
                    <w14:schemeClr w14:val="tx1"/>
                  </w14:solidFill>
                </w14:textFill>
              </w:rPr>
              <w:t>。</w:t>
            </w:r>
          </w:p>
        </w:tc>
      </w:tr>
    </w:tbl>
    <w:p>
      <w:pPr>
        <w:keepNext w:val="0"/>
        <w:keepLines w:val="0"/>
        <w:pageBreakBefore w:val="0"/>
        <w:widowControl w:val="0"/>
        <w:kinsoku/>
        <w:overflowPunct/>
        <w:topLinePunct w:val="0"/>
        <w:autoSpaceDE/>
        <w:autoSpaceDN/>
        <w:bidi w:val="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上述内容需包括：</w:t>
      </w:r>
    </w:p>
    <w:p>
      <w:pPr>
        <w:keepNext w:val="0"/>
        <w:keepLines w:val="0"/>
        <w:pageBreakBefore w:val="0"/>
        <w:widowControl w:val="0"/>
        <w:kinsoku/>
        <w:overflowPunct/>
        <w:topLinePunct w:val="0"/>
        <w:autoSpaceDE/>
        <w:autoSpaceDN/>
        <w:bidi w:val="0"/>
        <w:jc w:val="left"/>
        <w:rPr>
          <w:rFonts w:hint="eastAsia"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（一）采购人名称、项目名称、采购计划、项目规模及资金来源情况；</w:t>
      </w:r>
    </w:p>
    <w:p>
      <w:pPr>
        <w:keepNext w:val="0"/>
        <w:keepLines w:val="0"/>
        <w:pageBreakBefore w:val="0"/>
        <w:widowControl w:val="0"/>
        <w:kinsoku/>
        <w:overflowPunct/>
        <w:topLinePunct w:val="0"/>
        <w:autoSpaceDE/>
        <w:autoSpaceDN/>
        <w:bidi w:val="0"/>
        <w:jc w:val="left"/>
        <w:rPr>
          <w:rFonts w:hint="eastAsia"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（二）项目技术需求和标准；</w:t>
      </w:r>
    </w:p>
    <w:p>
      <w:pPr>
        <w:keepNext w:val="0"/>
        <w:keepLines w:val="0"/>
        <w:pageBreakBefore w:val="0"/>
        <w:widowControl w:val="0"/>
        <w:kinsoku/>
        <w:overflowPunct/>
        <w:topLinePunct w:val="0"/>
        <w:autoSpaceDE/>
        <w:autoSpaceDN/>
        <w:bidi w:val="0"/>
        <w:jc w:val="left"/>
        <w:rPr>
          <w:rFonts w:hint="eastAsia"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（三）申请非公开招标的采购方式、理由及证明材料；</w:t>
      </w:r>
    </w:p>
    <w:p>
      <w:pPr>
        <w:keepNext w:val="0"/>
        <w:keepLines w:val="0"/>
        <w:pageBreakBefore w:val="0"/>
        <w:widowControl w:val="0"/>
        <w:kinsoku/>
        <w:overflowPunct/>
        <w:topLinePunct w:val="0"/>
        <w:autoSpaceDE/>
        <w:autoSpaceDN/>
        <w:bidi w:val="0"/>
        <w:jc w:val="left"/>
        <w:rPr>
          <w:rFonts w:hint="eastAsia"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（四）相关行业及潜在供应商情况；</w:t>
      </w:r>
    </w:p>
    <w:p>
      <w:pPr>
        <w:keepNext w:val="0"/>
        <w:keepLines w:val="0"/>
        <w:pageBreakBefore w:val="0"/>
        <w:widowControl w:val="0"/>
        <w:kinsoku/>
        <w:overflowPunct/>
        <w:topLinePunct w:val="0"/>
        <w:autoSpaceDE/>
        <w:autoSpaceDN/>
        <w:bidi w:val="0"/>
        <w:jc w:val="left"/>
        <w:rPr>
          <w:rFonts w:hint="eastAsia"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（五）参与非公开招标的供应商的产生方式和理由；</w:t>
      </w:r>
    </w:p>
    <w:p>
      <w:pPr>
        <w:keepNext w:val="0"/>
        <w:keepLines w:val="0"/>
        <w:pageBreakBefore w:val="0"/>
        <w:widowControl w:val="0"/>
        <w:kinsoku/>
        <w:overflowPunct/>
        <w:topLinePunct w:val="0"/>
        <w:autoSpaceDE/>
        <w:autoSpaceDN/>
        <w:bidi w:val="0"/>
        <w:rPr>
          <w:highlight w:val="none"/>
        </w:rPr>
      </w:pPr>
      <w:r>
        <w:rPr>
          <w:rFonts w:hint="eastAsia" w:ascii="宋体" w:hAnsi="宋体" w:eastAsia="宋体" w:cs="宋体"/>
          <w:color w:val="000000" w:themeColor="text1"/>
          <w:kern w:val="0"/>
          <w:sz w:val="20"/>
          <w:szCs w:val="20"/>
          <w:highlight w:val="none"/>
          <w14:textFill>
            <w14:solidFill>
              <w14:schemeClr w14:val="tx1"/>
            </w14:solidFill>
          </w14:textFill>
        </w:rPr>
        <w:t>（六）涉密、应急项目的认定材料。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C5AB15"/>
    <w:multiLevelType w:val="singleLevel"/>
    <w:tmpl w:val="4BC5AB1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70C0A"/>
    <w:rsid w:val="029F2ED9"/>
    <w:rsid w:val="04E8539D"/>
    <w:rsid w:val="053E0EEC"/>
    <w:rsid w:val="06796A2D"/>
    <w:rsid w:val="078B13C9"/>
    <w:rsid w:val="0BA11B05"/>
    <w:rsid w:val="154E6181"/>
    <w:rsid w:val="17F748C3"/>
    <w:rsid w:val="190760C6"/>
    <w:rsid w:val="1C984106"/>
    <w:rsid w:val="1D962818"/>
    <w:rsid w:val="234729C7"/>
    <w:rsid w:val="246C4A50"/>
    <w:rsid w:val="2597375C"/>
    <w:rsid w:val="282733F2"/>
    <w:rsid w:val="29E537B3"/>
    <w:rsid w:val="29F43AE2"/>
    <w:rsid w:val="2B7A2B6D"/>
    <w:rsid w:val="2B7B6DE1"/>
    <w:rsid w:val="2BB05B96"/>
    <w:rsid w:val="2FB52FBF"/>
    <w:rsid w:val="308E3936"/>
    <w:rsid w:val="3582243D"/>
    <w:rsid w:val="3655078E"/>
    <w:rsid w:val="36CC46F5"/>
    <w:rsid w:val="3BDC4323"/>
    <w:rsid w:val="42A5405A"/>
    <w:rsid w:val="46610A04"/>
    <w:rsid w:val="48955120"/>
    <w:rsid w:val="4A547680"/>
    <w:rsid w:val="4F535767"/>
    <w:rsid w:val="50A45004"/>
    <w:rsid w:val="515D38ED"/>
    <w:rsid w:val="51BE68A7"/>
    <w:rsid w:val="557312C2"/>
    <w:rsid w:val="57183B71"/>
    <w:rsid w:val="571A7074"/>
    <w:rsid w:val="5AC86C07"/>
    <w:rsid w:val="5C335AD2"/>
    <w:rsid w:val="5DEB6604"/>
    <w:rsid w:val="5F7A0DB2"/>
    <w:rsid w:val="5FA60D34"/>
    <w:rsid w:val="62846F1D"/>
    <w:rsid w:val="63076D84"/>
    <w:rsid w:val="75E672A0"/>
    <w:rsid w:val="76E14537"/>
    <w:rsid w:val="77CA58EE"/>
    <w:rsid w:val="7944188F"/>
    <w:rsid w:val="7AA36941"/>
    <w:rsid w:val="7B9E45DB"/>
    <w:rsid w:val="7E3C61A8"/>
    <w:rsid w:val="7F5D4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BodyText"/>
    <w:basedOn w:val="1"/>
    <w:qFormat/>
    <w:uiPriority w:val="0"/>
    <w:rPr>
      <w:rFonts w:ascii="Calibri" w:hAnsi="Calibri"/>
      <w:sz w:val="24"/>
    </w:rPr>
  </w:style>
  <w:style w:type="paragraph" w:styleId="4">
    <w:name w:val="Body Text"/>
    <w:basedOn w:val="1"/>
    <w:unhideWhenUsed/>
    <w:qFormat/>
    <w:uiPriority w:val="99"/>
    <w:pPr>
      <w:spacing w:after="120"/>
    </w:pPr>
  </w:style>
  <w:style w:type="paragraph" w:styleId="5">
    <w:name w:val="footnote text"/>
    <w:basedOn w:val="1"/>
    <w:qFormat/>
    <w:uiPriority w:val="0"/>
    <w:pPr>
      <w:snapToGrid w:val="0"/>
      <w:jc w:val="left"/>
    </w:pPr>
    <w:rPr>
      <w:sz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2025-01-23T01:39:00Z</dcterms:created>
  <dc:creator>hongxh</dc:creator>
  <cp:lastModifiedBy>Administrator</cp:lastModifiedBy>
  <cp:lastPrinted>2025-04-17T07:00:00Z</cp:lastPrinted>
  <dcterms:modified xsi:type="dcterms:W3CDTF">2025-05-06T01:11:32Z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5362AB59D9154176BA9170E53869B7AA</vt:lpwstr>
  </property>
</Properties>
</file>